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07025">
      <w:pPr>
        <w:pStyle w:val="2"/>
        <w:keepNext w:val="0"/>
        <w:keepLines w:val="0"/>
        <w:widowControl/>
        <w:suppressLineNumbers w:val="0"/>
        <w:jc w:val="center"/>
        <w:rPr>
          <w:rFonts w:hint="default" w:ascii="黑体" w:hAnsi="黑体" w:eastAsia="黑体" w:cs="黑体"/>
          <w:lang w:val="en-US" w:eastAsia="zh-CN"/>
        </w:rPr>
      </w:pPr>
      <w:r>
        <w:rPr>
          <w:rStyle w:val="12"/>
          <w:rFonts w:hint="eastAsia" w:ascii="黑体" w:hAnsi="黑体" w:eastAsia="黑体" w:cs="黑体"/>
          <w:b/>
          <w:lang w:val="en-US" w:eastAsia="zh-CN"/>
        </w:rPr>
        <w:t>吉利学院教师</w:t>
      </w:r>
      <w:r>
        <w:rPr>
          <w:rStyle w:val="12"/>
          <w:rFonts w:hint="eastAsia" w:ascii="黑体" w:hAnsi="黑体" w:eastAsia="黑体" w:cs="黑体"/>
          <w:b/>
        </w:rPr>
        <w:t>外出调研</w:t>
      </w:r>
      <w:r>
        <w:rPr>
          <w:rStyle w:val="12"/>
          <w:rFonts w:hint="eastAsia" w:ascii="黑体" w:hAnsi="黑体" w:eastAsia="黑体" w:cs="黑体"/>
          <w:b/>
          <w:lang w:val="en-US" w:eastAsia="zh-CN"/>
        </w:rPr>
        <w:t>报告</w:t>
      </w:r>
    </w:p>
    <w:p w14:paraId="63E06F10">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一、调研基本信息</w:t>
      </w:r>
      <w:r>
        <w:rPr>
          <w:rFonts w:hint="eastAsia" w:ascii="黑体" w:hAnsi="黑体" w:eastAsia="黑体" w:cs="黑体"/>
          <w:color w:val="auto"/>
          <w:sz w:val="32"/>
          <w:szCs w:val="32"/>
          <w:lang w:val="en-US" w:eastAsia="zh-CN"/>
        </w:rPr>
        <w:t>（约150字）</w:t>
      </w:r>
    </w:p>
    <w:tbl>
      <w:tblPr>
        <w:tblStyle w:val="1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282"/>
        <w:gridCol w:w="6238"/>
      </w:tblGrid>
      <w:tr w14:paraId="49B73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trPr>
        <w:tc>
          <w:tcPr>
            <w:tcW w:w="1339" w:type="pct"/>
            <w:vAlign w:val="center"/>
          </w:tcPr>
          <w:p w14:paraId="2EF86A30">
            <w:pPr>
              <w:numPr>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调研时间</w:t>
            </w:r>
            <w:r>
              <w:rPr>
                <w:rFonts w:hint="default" w:ascii="Times New Roman" w:hAnsi="Times New Roman" w:cs="Times New Roman"/>
                <w:b/>
                <w:bCs/>
                <w:sz w:val="24"/>
                <w:szCs w:val="24"/>
                <w:lang w:eastAsia="zh-CN"/>
              </w:rPr>
              <w:t>：</w:t>
            </w:r>
          </w:p>
        </w:tc>
        <w:tc>
          <w:tcPr>
            <w:tcW w:w="3660" w:type="pct"/>
            <w:vAlign w:val="center"/>
          </w:tcPr>
          <w:p w14:paraId="31D0C19E">
            <w:pPr>
              <w:numPr>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lang w:eastAsia="zh-CN"/>
              </w:rPr>
              <w:t>2025年</w:t>
            </w:r>
            <w:r>
              <w:rPr>
                <w:rFonts w:hint="default" w:ascii="Times New Roman" w:hAnsi="Times New Roman" w:cs="Times New Roman"/>
                <w:sz w:val="24"/>
                <w:szCs w:val="24"/>
                <w:lang w:val="en-US" w:eastAsia="zh-CN"/>
              </w:rPr>
              <w:t>X</w:t>
            </w:r>
            <w:r>
              <w:rPr>
                <w:rFonts w:hint="default" w:ascii="Times New Roman" w:hAnsi="Times New Roman" w:cs="Times New Roman"/>
                <w:sz w:val="24"/>
                <w:szCs w:val="24"/>
                <w:lang w:eastAsia="zh-CN"/>
              </w:rPr>
              <w:t>月</w:t>
            </w:r>
            <w:r>
              <w:rPr>
                <w:rFonts w:hint="default" w:ascii="Times New Roman" w:hAnsi="Times New Roman" w:cs="Times New Roman"/>
                <w:sz w:val="24"/>
                <w:szCs w:val="24"/>
                <w:lang w:val="en-US" w:eastAsia="zh-CN"/>
              </w:rPr>
              <w:t>X</w:t>
            </w:r>
            <w:r>
              <w:rPr>
                <w:rFonts w:hint="default" w:ascii="Times New Roman" w:hAnsi="Times New Roman" w:cs="Times New Roman"/>
                <w:sz w:val="24"/>
                <w:szCs w:val="24"/>
                <w:lang w:eastAsia="zh-CN"/>
              </w:rPr>
              <w:t>日–</w:t>
            </w:r>
            <w:r>
              <w:rPr>
                <w:rFonts w:hint="default" w:ascii="Times New Roman" w:hAnsi="Times New Roman" w:cs="Times New Roman"/>
                <w:sz w:val="24"/>
                <w:szCs w:val="24"/>
                <w:lang w:val="en-US" w:eastAsia="zh-CN"/>
              </w:rPr>
              <w:t>X</w:t>
            </w:r>
            <w:r>
              <w:rPr>
                <w:rFonts w:hint="default" w:ascii="Times New Roman" w:hAnsi="Times New Roman" w:cs="Times New Roman"/>
                <w:sz w:val="24"/>
                <w:szCs w:val="24"/>
                <w:lang w:eastAsia="zh-CN"/>
              </w:rPr>
              <w:t>月</w:t>
            </w:r>
            <w:r>
              <w:rPr>
                <w:rFonts w:hint="default" w:ascii="Times New Roman" w:hAnsi="Times New Roman" w:cs="Times New Roman"/>
                <w:sz w:val="24"/>
                <w:szCs w:val="24"/>
                <w:lang w:val="en-US" w:eastAsia="zh-CN"/>
              </w:rPr>
              <w:t>X</w:t>
            </w:r>
            <w:r>
              <w:rPr>
                <w:rFonts w:hint="default" w:ascii="Times New Roman" w:hAnsi="Times New Roman" w:cs="Times New Roman"/>
                <w:sz w:val="24"/>
                <w:szCs w:val="24"/>
                <w:lang w:eastAsia="zh-CN"/>
              </w:rPr>
              <w:t>日</w:t>
            </w:r>
          </w:p>
        </w:tc>
      </w:tr>
      <w:tr w14:paraId="461C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trPr>
        <w:tc>
          <w:tcPr>
            <w:tcW w:w="1339" w:type="pct"/>
            <w:vAlign w:val="center"/>
          </w:tcPr>
          <w:p w14:paraId="49CC6E06">
            <w:pPr>
              <w:numPr>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调研地点</w:t>
            </w:r>
            <w:r>
              <w:rPr>
                <w:rFonts w:hint="default" w:ascii="Times New Roman" w:hAnsi="Times New Roman" w:cs="Times New Roman"/>
                <w:b/>
                <w:bCs/>
                <w:sz w:val="24"/>
                <w:szCs w:val="24"/>
                <w:lang w:eastAsia="zh-CN"/>
              </w:rPr>
              <w:t>：</w:t>
            </w:r>
          </w:p>
        </w:tc>
        <w:tc>
          <w:tcPr>
            <w:tcW w:w="3660" w:type="pct"/>
            <w:vAlign w:val="center"/>
          </w:tcPr>
          <w:p w14:paraId="4C659C9D">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Autospacing="0" w:afterAutospacing="0" w:line="440" w:lineRule="exact"/>
              <w:ind w:leftChars="0" w:right="0" w:rightChars="0"/>
              <w:jc w:val="both"/>
              <w:textAlignment w:val="auto"/>
              <w:rPr>
                <w:rFonts w:hint="default" w:ascii="Times New Roman" w:hAnsi="Times New Roman" w:cs="Times New Roman"/>
                <w:sz w:val="24"/>
                <w:szCs w:val="24"/>
                <w:vertAlign w:val="baseline"/>
              </w:rPr>
            </w:pPr>
            <w:r>
              <w:rPr>
                <w:rFonts w:hint="default" w:ascii="Times New Roman" w:hAnsi="Times New Roman" w:cs="Times New Roman"/>
                <w:sz w:val="24"/>
                <w:szCs w:val="24"/>
                <w:lang w:val="en-US" w:eastAsia="zh-CN"/>
              </w:rPr>
              <w:t>XX省XX市XX区XX路XX号</w:t>
            </w:r>
          </w:p>
        </w:tc>
      </w:tr>
      <w:tr w14:paraId="26DE5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trPr>
        <w:tc>
          <w:tcPr>
            <w:tcW w:w="1339" w:type="pct"/>
            <w:vAlign w:val="center"/>
          </w:tcPr>
          <w:p w14:paraId="2828B0B7">
            <w:pPr>
              <w:numPr>
                <w:numId w:val="0"/>
              </w:numPr>
              <w:jc w:val="both"/>
              <w:rPr>
                <w:rFonts w:hint="default" w:ascii="Times New Roman" w:hAnsi="Times New Roman" w:cs="Times New Roman"/>
                <w:b/>
                <w:bCs/>
                <w:sz w:val="24"/>
                <w:szCs w:val="24"/>
                <w:vertAlign w:val="baseline"/>
              </w:rPr>
            </w:pPr>
            <w:r>
              <w:rPr>
                <w:rFonts w:hint="default" w:ascii="Times New Roman" w:hAnsi="Times New Roman" w:cs="Times New Roman"/>
                <w:b/>
                <w:bCs/>
                <w:sz w:val="24"/>
                <w:szCs w:val="24"/>
                <w:lang w:val="en-US" w:eastAsia="zh-CN"/>
              </w:rPr>
              <w:t>调研单位：</w:t>
            </w:r>
          </w:p>
        </w:tc>
        <w:tc>
          <w:tcPr>
            <w:tcW w:w="3660" w:type="pct"/>
            <w:vAlign w:val="center"/>
          </w:tcPr>
          <w:p w14:paraId="6ED17233">
            <w:pPr>
              <w:numPr>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XXX单位XX部门</w:t>
            </w:r>
          </w:p>
        </w:tc>
      </w:tr>
      <w:tr w14:paraId="6354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trPr>
        <w:tc>
          <w:tcPr>
            <w:tcW w:w="1339" w:type="pct"/>
            <w:vAlign w:val="center"/>
          </w:tcPr>
          <w:p w14:paraId="5EC75113">
            <w:pPr>
              <w:numPr>
                <w:numId w:val="0"/>
              </w:numPr>
              <w:jc w:val="both"/>
              <w:rPr>
                <w:rFonts w:hint="default" w:ascii="Times New Roman" w:hAnsi="Times New Roman" w:cs="Times New Roman"/>
                <w:b/>
                <w:bCs/>
                <w:sz w:val="24"/>
                <w:szCs w:val="24"/>
                <w:vertAlign w:val="baseline"/>
              </w:rPr>
            </w:pPr>
            <w:r>
              <w:rPr>
                <w:rFonts w:hint="default" w:ascii="Times New Roman" w:hAnsi="Times New Roman" w:cs="Times New Roman"/>
                <w:b/>
                <w:bCs/>
                <w:sz w:val="24"/>
                <w:szCs w:val="24"/>
                <w:lang w:val="en-US" w:eastAsia="zh-CN"/>
              </w:rPr>
              <w:t>调研单位联系人：</w:t>
            </w:r>
          </w:p>
        </w:tc>
        <w:tc>
          <w:tcPr>
            <w:tcW w:w="3660" w:type="pct"/>
            <w:vAlign w:val="center"/>
          </w:tcPr>
          <w:p w14:paraId="2F5B0AAA">
            <w:pPr>
              <w:numPr>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XXX，188XXXX1541</w:t>
            </w:r>
          </w:p>
        </w:tc>
      </w:tr>
      <w:tr w14:paraId="6E65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trPr>
        <w:tc>
          <w:tcPr>
            <w:tcW w:w="1339" w:type="pct"/>
            <w:vAlign w:val="center"/>
          </w:tcPr>
          <w:p w14:paraId="61349164">
            <w:pPr>
              <w:numPr>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调研背景</w:t>
            </w:r>
            <w:r>
              <w:rPr>
                <w:rFonts w:hint="default" w:ascii="Times New Roman" w:hAnsi="Times New Roman" w:cs="Times New Roman"/>
                <w:b/>
                <w:bCs/>
                <w:sz w:val="24"/>
                <w:szCs w:val="24"/>
                <w:lang w:eastAsia="zh-CN"/>
              </w:rPr>
              <w:t>：</w:t>
            </w:r>
          </w:p>
        </w:tc>
        <w:tc>
          <w:tcPr>
            <w:tcW w:w="3660" w:type="pct"/>
            <w:vAlign w:val="center"/>
          </w:tcPr>
          <w:p w14:paraId="00B95073">
            <w:pPr>
              <w:numPr>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由XX（某人/某教研室/某学院/学校X部门）组织，针对XX内容/主题/工作进行调研学习。</w:t>
            </w:r>
          </w:p>
        </w:tc>
      </w:tr>
      <w:tr w14:paraId="57C20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510" w:hRule="atLeast"/>
        </w:trPr>
        <w:tc>
          <w:tcPr>
            <w:tcW w:w="1339" w:type="pct"/>
            <w:vAlign w:val="center"/>
          </w:tcPr>
          <w:p w14:paraId="08DF12E0">
            <w:pPr>
              <w:numPr>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依托项目</w:t>
            </w:r>
            <w:r>
              <w:rPr>
                <w:rFonts w:hint="default" w:ascii="Times New Roman" w:hAnsi="Times New Roman" w:cs="Times New Roman"/>
                <w:b/>
                <w:bCs/>
                <w:sz w:val="24"/>
                <w:szCs w:val="24"/>
                <w:lang w:eastAsia="zh-CN"/>
              </w:rPr>
              <w:t>：</w:t>
            </w:r>
          </w:p>
        </w:tc>
        <w:tc>
          <w:tcPr>
            <w:tcW w:w="3660" w:type="pct"/>
            <w:vAlign w:val="center"/>
          </w:tcPr>
          <w:p w14:paraId="435A186B">
            <w:pPr>
              <w:numPr>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[项目编号或预算编号] - 项目名称</w:t>
            </w:r>
          </w:p>
        </w:tc>
      </w:tr>
    </w:tbl>
    <w:p w14:paraId="1236B87F">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二、调研对象与目标（约300-400字）</w:t>
      </w:r>
    </w:p>
    <w:p w14:paraId="6CEDD18D">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color w:val="auto"/>
          <w:lang w:eastAsia="zh-CN"/>
        </w:rPr>
      </w:pPr>
      <w:r>
        <w:rPr>
          <w:rFonts w:hint="eastAsia"/>
          <w:color w:val="auto"/>
          <w:lang w:eastAsia="zh-CN"/>
        </w:rPr>
        <w:t>（</w:t>
      </w:r>
      <w:r>
        <w:rPr>
          <w:color w:val="auto"/>
        </w:rPr>
        <w:t>阐述调研的动因</w:t>
      </w:r>
      <w:r>
        <w:rPr>
          <w:rFonts w:hint="eastAsia"/>
          <w:color w:val="auto"/>
          <w:lang w:eastAsia="zh-CN"/>
        </w:rPr>
        <w:t>、</w:t>
      </w:r>
      <w:r>
        <w:rPr>
          <w:color w:val="auto"/>
        </w:rPr>
        <w:t>目标</w:t>
      </w:r>
      <w:r>
        <w:rPr>
          <w:rFonts w:hint="eastAsia"/>
          <w:color w:val="auto"/>
          <w:lang w:val="en-US" w:eastAsia="zh-CN"/>
        </w:rPr>
        <w:t>任务。</w:t>
      </w:r>
      <w:r>
        <w:rPr>
          <w:color w:val="auto"/>
        </w:rPr>
        <w:t>说明调研对于教学改革、人才培养、课程建设或科研方向的推动意义</w:t>
      </w:r>
      <w:r>
        <w:rPr>
          <w:rFonts w:hint="eastAsia"/>
          <w:color w:val="auto"/>
          <w:lang w:eastAsia="zh-CN"/>
        </w:rPr>
        <w:t>。</w:t>
      </w:r>
      <w:r>
        <w:rPr>
          <w:color w:val="auto"/>
        </w:rPr>
        <w:t>描述采用的调研方式（如访谈、实地考察等）</w:t>
      </w:r>
      <w:r>
        <w:rPr>
          <w:rFonts w:hint="eastAsia"/>
          <w:color w:val="auto"/>
          <w:lang w:val="en-US" w:eastAsia="zh-CN"/>
        </w:rPr>
        <w:t>、调研单位简介、调研涉及的单位、部门或人员。</w:t>
      </w:r>
      <w:r>
        <w:rPr>
          <w:rFonts w:hint="eastAsia"/>
          <w:color w:val="auto"/>
          <w:lang w:eastAsia="zh-CN"/>
        </w:rPr>
        <w:t>）</w:t>
      </w:r>
    </w:p>
    <w:p w14:paraId="14FAC6C4">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三、调研内容与过程（约500-800字）</w:t>
      </w:r>
    </w:p>
    <w:p w14:paraId="47D173CC">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auto"/>
          <w:lang w:eastAsia="zh-CN"/>
        </w:rPr>
      </w:pPr>
      <w:r>
        <w:rPr>
          <w:rFonts w:hint="eastAsia"/>
          <w:color w:val="auto"/>
          <w:lang w:eastAsia="zh-CN"/>
        </w:rPr>
        <w:t>（展开介绍调研的活动安排、交流内容、现场观察等，</w:t>
      </w:r>
      <w:r>
        <w:rPr>
          <w:rFonts w:hint="eastAsia"/>
          <w:color w:val="auto"/>
          <w:lang w:val="en-US" w:eastAsia="zh-CN"/>
        </w:rPr>
        <w:t>可</w:t>
      </w:r>
      <w:r>
        <w:rPr>
          <w:rFonts w:hint="eastAsia"/>
          <w:color w:val="auto"/>
          <w:lang w:eastAsia="zh-CN"/>
        </w:rPr>
        <w:t>按时间顺序或议题组织材料）</w:t>
      </w:r>
    </w:p>
    <w:p w14:paraId="369D9E6F">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四、调研成果（约400-500字）</w:t>
      </w:r>
    </w:p>
    <w:p w14:paraId="02C8446A">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auto"/>
          <w:lang w:eastAsia="zh-CN"/>
        </w:rPr>
      </w:pPr>
      <w:r>
        <w:rPr>
          <w:rFonts w:hint="eastAsia"/>
          <w:color w:val="auto"/>
          <w:lang w:eastAsia="zh-CN"/>
        </w:rPr>
        <w:t>（总结调研达成的成果（如达成合作意向、完成实训设计等），提出可实施的建议与后续行动计划。）</w:t>
      </w:r>
    </w:p>
    <w:p w14:paraId="005A3770">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五、附件（照片必选，其他不少于1项）</w:t>
      </w:r>
    </w:p>
    <w:p w14:paraId="07889C60">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 xml:space="preserve">1. </w:t>
      </w:r>
      <w:r>
        <w:rPr>
          <w:rFonts w:hint="eastAsia" w:ascii="宋体" w:hAnsi="宋体" w:eastAsia="宋体" w:cs="宋体"/>
          <w:b/>
          <w:bCs/>
          <w:color w:val="auto"/>
          <w:kern w:val="0"/>
          <w:sz w:val="24"/>
          <w:szCs w:val="24"/>
          <w:lang w:val="en-US" w:eastAsia="zh-CN" w:bidi="ar"/>
        </w:rPr>
        <w:t>必选项：</w:t>
      </w:r>
      <w:r>
        <w:rPr>
          <w:rFonts w:hint="eastAsia" w:ascii="宋体" w:hAnsi="宋体" w:eastAsia="宋体" w:cs="宋体"/>
          <w:color w:val="auto"/>
          <w:kern w:val="0"/>
          <w:sz w:val="24"/>
          <w:szCs w:val="24"/>
          <w:lang w:val="en-US" w:eastAsia="zh-CN" w:bidi="ar"/>
        </w:rPr>
        <w:t>调研过</w:t>
      </w:r>
      <w:bookmarkStart w:id="0" w:name="_GoBack"/>
      <w:bookmarkEnd w:id="0"/>
      <w:r>
        <w:rPr>
          <w:rFonts w:hint="eastAsia" w:ascii="宋体" w:hAnsi="宋体" w:eastAsia="宋体" w:cs="宋体"/>
          <w:color w:val="auto"/>
          <w:kern w:val="0"/>
          <w:sz w:val="24"/>
          <w:szCs w:val="24"/>
          <w:lang w:val="en-US" w:eastAsia="zh-CN" w:bidi="ar"/>
        </w:rPr>
        <w:t>程的照片2-3张。需对生产过程保密的单位可在单位门口有企业名称或logo处拍摄。建议对调研内容、产品、公司环境、研讨会场、现有学生实习场景进行记录。</w:t>
      </w:r>
    </w:p>
    <w:p w14:paraId="3E7C4FDD">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ascii="宋体" w:hAnsi="宋体" w:eastAsia="宋体" w:cs="宋体"/>
          <w:color w:val="auto"/>
        </w:rPr>
      </w:pPr>
      <w:r>
        <w:rPr>
          <w:rFonts w:hint="eastAsia" w:ascii="宋体" w:hAnsi="宋体" w:eastAsia="宋体" w:cs="宋体"/>
          <w:color w:val="auto"/>
          <w:kern w:val="0"/>
          <w:sz w:val="24"/>
          <w:szCs w:val="24"/>
          <w:lang w:val="en-US" w:eastAsia="zh-CN" w:bidi="ar"/>
        </w:rPr>
        <w:t xml:space="preserve">2. </w:t>
      </w:r>
      <w:r>
        <w:rPr>
          <w:rFonts w:hint="eastAsia" w:ascii="宋体" w:hAnsi="宋体" w:eastAsia="宋体" w:cs="宋体"/>
          <w:b/>
          <w:bCs/>
          <w:color w:val="auto"/>
          <w:kern w:val="0"/>
          <w:sz w:val="24"/>
          <w:szCs w:val="24"/>
          <w:lang w:val="en-US" w:eastAsia="zh-CN" w:bidi="ar"/>
        </w:rPr>
        <w:t>选择项（不少于1项）：</w:t>
      </w:r>
      <w:r>
        <w:rPr>
          <w:rFonts w:hint="eastAsia" w:ascii="宋体" w:hAnsi="宋体" w:eastAsia="宋体" w:cs="宋体"/>
          <w:color w:val="auto"/>
          <w:kern w:val="0"/>
          <w:sz w:val="24"/>
          <w:szCs w:val="24"/>
          <w:lang w:val="en-US" w:eastAsia="zh-CN" w:bidi="ar"/>
        </w:rPr>
        <w:t>会议纪要、宣传稿、合作方案或意向方案、新闻推文等，请附文案作为附件。）</w:t>
      </w:r>
    </w:p>
    <w:p w14:paraId="245DAC27">
      <w:pPr>
        <w:sectPr>
          <w:footerReference r:id="rId3" w:type="default"/>
          <w:pgSz w:w="11906" w:h="16838"/>
          <w:pgMar w:top="1440" w:right="1800" w:bottom="1440" w:left="1800" w:header="851" w:footer="992" w:gutter="0"/>
          <w:pgBorders w:offsetFrom="page">
            <w:top w:val="none" w:sz="0" w:space="0"/>
            <w:left w:val="none" w:sz="0" w:space="0"/>
            <w:bottom w:val="none" w:sz="0" w:space="0"/>
            <w:right w:val="none" w:sz="0" w:space="0"/>
          </w:pgBorders>
          <w:pgNumType w:fmt="decimal"/>
          <w:cols w:space="425" w:num="1"/>
          <w:docGrid w:type="lines" w:linePitch="312" w:charSpace="0"/>
        </w:sectPr>
      </w:pPr>
    </w:p>
    <w:p w14:paraId="5CD906B3">
      <w:pPr>
        <w:pStyle w:val="2"/>
        <w:keepNext w:val="0"/>
        <w:keepLines w:val="0"/>
        <w:widowControl/>
        <w:suppressLineNumbers w:val="0"/>
        <w:jc w:val="center"/>
        <w:rPr>
          <w:rFonts w:hint="eastAsia" w:ascii="黑体" w:hAnsi="黑体" w:eastAsia="黑体" w:cs="黑体"/>
          <w:color w:val="C00000"/>
          <w:lang w:val="en-US" w:eastAsia="zh-CN"/>
        </w:rPr>
      </w:pPr>
      <w:r>
        <w:rPr>
          <w:rStyle w:val="12"/>
          <w:rFonts w:hint="eastAsia" w:ascii="黑体" w:hAnsi="黑体" w:eastAsia="黑体" w:cs="黑体"/>
          <w:b/>
          <w:lang w:val="en-US" w:eastAsia="zh-CN"/>
        </w:rPr>
        <w:t>吉利学院教师</w:t>
      </w:r>
      <w:r>
        <w:rPr>
          <w:rStyle w:val="12"/>
          <w:rFonts w:hint="eastAsia" w:ascii="黑体" w:hAnsi="黑体" w:eastAsia="黑体" w:cs="黑体"/>
          <w:b/>
        </w:rPr>
        <w:t>外出调研</w:t>
      </w:r>
      <w:r>
        <w:rPr>
          <w:rStyle w:val="12"/>
          <w:rFonts w:hint="eastAsia" w:ascii="黑体" w:hAnsi="黑体" w:eastAsia="黑体" w:cs="黑体"/>
          <w:b/>
          <w:lang w:val="en-US" w:eastAsia="zh-CN"/>
        </w:rPr>
        <w:t>报告</w:t>
      </w:r>
      <w:r>
        <w:rPr>
          <w:rStyle w:val="12"/>
          <w:rFonts w:hint="eastAsia" w:ascii="黑体" w:hAnsi="黑体" w:eastAsia="黑体" w:cs="黑体"/>
          <w:b/>
          <w:color w:val="C00000"/>
          <w:lang w:val="en-US" w:eastAsia="zh-CN"/>
        </w:rPr>
        <w:t>（参考样例）</w:t>
      </w:r>
    </w:p>
    <w:p w14:paraId="569C22BF">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一、调研基本信息</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4"/>
        <w:gridCol w:w="6515"/>
      </w:tblGrid>
      <w:tr w14:paraId="7507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6" w:type="pct"/>
            <w:vAlign w:val="center"/>
          </w:tcPr>
          <w:p w14:paraId="63DE12BC">
            <w:pPr>
              <w:numPr>
                <w:ilvl w:val="0"/>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调研时间</w:t>
            </w:r>
            <w:r>
              <w:rPr>
                <w:rFonts w:hint="default" w:ascii="Times New Roman" w:hAnsi="Times New Roman" w:cs="Times New Roman"/>
                <w:b/>
                <w:bCs/>
                <w:sz w:val="24"/>
                <w:szCs w:val="24"/>
                <w:lang w:eastAsia="zh-CN"/>
              </w:rPr>
              <w:t>：</w:t>
            </w:r>
          </w:p>
        </w:tc>
        <w:tc>
          <w:tcPr>
            <w:tcW w:w="3823" w:type="pct"/>
            <w:vAlign w:val="center"/>
          </w:tcPr>
          <w:p w14:paraId="6C6E0A85">
            <w:pPr>
              <w:numPr>
                <w:ilvl w:val="0"/>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lang w:eastAsia="zh-CN"/>
              </w:rPr>
              <w:t>2025年4月7日–8日</w:t>
            </w:r>
          </w:p>
        </w:tc>
      </w:tr>
      <w:tr w14:paraId="3616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6" w:type="pct"/>
            <w:vAlign w:val="center"/>
          </w:tcPr>
          <w:p w14:paraId="20F7F3BC">
            <w:pPr>
              <w:numPr>
                <w:ilvl w:val="0"/>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调研地点</w:t>
            </w:r>
            <w:r>
              <w:rPr>
                <w:rFonts w:hint="default" w:ascii="Times New Roman" w:hAnsi="Times New Roman" w:cs="Times New Roman"/>
                <w:b/>
                <w:bCs/>
                <w:sz w:val="24"/>
                <w:szCs w:val="24"/>
                <w:lang w:eastAsia="zh-CN"/>
              </w:rPr>
              <w:t>：</w:t>
            </w:r>
          </w:p>
        </w:tc>
        <w:tc>
          <w:tcPr>
            <w:tcW w:w="3823" w:type="pct"/>
            <w:vAlign w:val="center"/>
          </w:tcPr>
          <w:p w14:paraId="2C5D158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440" w:lineRule="exact"/>
              <w:ind w:leftChars="0" w:right="0" w:rightChars="0"/>
              <w:jc w:val="both"/>
              <w:textAlignment w:val="auto"/>
              <w:rPr>
                <w:rFonts w:hint="default" w:ascii="Times New Roman" w:hAnsi="Times New Roman" w:cs="Times New Roman"/>
                <w:sz w:val="24"/>
                <w:szCs w:val="24"/>
                <w:vertAlign w:val="baseline"/>
              </w:rPr>
            </w:pPr>
            <w:r>
              <w:rPr>
                <w:rFonts w:hint="default" w:ascii="Times New Roman" w:hAnsi="Times New Roman" w:cs="Times New Roman"/>
                <w:sz w:val="24"/>
                <w:szCs w:val="24"/>
                <w:lang w:val="en-US" w:eastAsia="zh-CN"/>
              </w:rPr>
              <w:t>成都市北碚区凤栖路15号</w:t>
            </w:r>
          </w:p>
        </w:tc>
      </w:tr>
      <w:tr w14:paraId="60D0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6" w:type="pct"/>
            <w:vAlign w:val="center"/>
          </w:tcPr>
          <w:p w14:paraId="74DC2DE1">
            <w:pPr>
              <w:numPr>
                <w:ilvl w:val="0"/>
                <w:numId w:val="0"/>
              </w:numPr>
              <w:jc w:val="both"/>
              <w:rPr>
                <w:rFonts w:hint="default" w:ascii="Times New Roman" w:hAnsi="Times New Roman" w:cs="Times New Roman"/>
                <w:b/>
                <w:bCs/>
                <w:sz w:val="24"/>
                <w:szCs w:val="24"/>
                <w:vertAlign w:val="baseline"/>
              </w:rPr>
            </w:pPr>
            <w:r>
              <w:rPr>
                <w:rFonts w:hint="default" w:ascii="Times New Roman" w:hAnsi="Times New Roman" w:cs="Times New Roman"/>
                <w:b/>
                <w:bCs/>
                <w:sz w:val="24"/>
                <w:szCs w:val="24"/>
                <w:lang w:val="en-US" w:eastAsia="zh-CN"/>
              </w:rPr>
              <w:t>调研单位：</w:t>
            </w:r>
          </w:p>
        </w:tc>
        <w:tc>
          <w:tcPr>
            <w:tcW w:w="3823" w:type="pct"/>
            <w:vAlign w:val="center"/>
          </w:tcPr>
          <w:p w14:paraId="541ED142">
            <w:pPr>
              <w:numPr>
                <w:ilvl w:val="0"/>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成都艾维塔科技有限公司</w:t>
            </w:r>
          </w:p>
        </w:tc>
      </w:tr>
      <w:tr w14:paraId="6CE2E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6" w:type="pct"/>
            <w:vAlign w:val="center"/>
          </w:tcPr>
          <w:p w14:paraId="31DFCD87">
            <w:pPr>
              <w:numPr>
                <w:ilvl w:val="0"/>
                <w:numId w:val="0"/>
              </w:numPr>
              <w:jc w:val="both"/>
              <w:rPr>
                <w:rFonts w:hint="default" w:ascii="Times New Roman" w:hAnsi="Times New Roman" w:cs="Times New Roman"/>
                <w:b/>
                <w:bCs/>
                <w:sz w:val="24"/>
                <w:szCs w:val="24"/>
                <w:vertAlign w:val="baseline"/>
              </w:rPr>
            </w:pPr>
            <w:r>
              <w:rPr>
                <w:rFonts w:hint="default" w:ascii="Times New Roman" w:hAnsi="Times New Roman" w:cs="Times New Roman"/>
                <w:b/>
                <w:bCs/>
                <w:sz w:val="24"/>
                <w:szCs w:val="24"/>
                <w:lang w:val="en-US" w:eastAsia="zh-CN"/>
              </w:rPr>
              <w:t>调研单位联系人：</w:t>
            </w:r>
          </w:p>
        </w:tc>
        <w:tc>
          <w:tcPr>
            <w:tcW w:w="3823" w:type="pct"/>
            <w:vAlign w:val="center"/>
          </w:tcPr>
          <w:p w14:paraId="7D72CC64">
            <w:pPr>
              <w:numPr>
                <w:ilvl w:val="0"/>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鲁明，13511411254</w:t>
            </w:r>
          </w:p>
        </w:tc>
      </w:tr>
      <w:tr w14:paraId="635B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6" w:type="pct"/>
            <w:vAlign w:val="center"/>
          </w:tcPr>
          <w:p w14:paraId="0FED408E">
            <w:pPr>
              <w:numPr>
                <w:ilvl w:val="0"/>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调研背景</w:t>
            </w:r>
            <w:r>
              <w:rPr>
                <w:rFonts w:hint="default" w:ascii="Times New Roman" w:hAnsi="Times New Roman" w:cs="Times New Roman"/>
                <w:b/>
                <w:bCs/>
                <w:sz w:val="24"/>
                <w:szCs w:val="24"/>
                <w:lang w:eastAsia="zh-CN"/>
              </w:rPr>
              <w:t>：</w:t>
            </w:r>
          </w:p>
        </w:tc>
        <w:tc>
          <w:tcPr>
            <w:tcW w:w="3823" w:type="pct"/>
            <w:vAlign w:val="center"/>
          </w:tcPr>
          <w:p w14:paraId="7438C649">
            <w:pPr>
              <w:numPr>
                <w:ilvl w:val="0"/>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由储能科学与工程教研室组织，针对2026版人才培养方案进行企业用人需求和岗位标准调研。</w:t>
            </w:r>
          </w:p>
        </w:tc>
      </w:tr>
      <w:tr w14:paraId="3ABF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176" w:type="pct"/>
            <w:vAlign w:val="center"/>
          </w:tcPr>
          <w:p w14:paraId="5B1CAB19">
            <w:pPr>
              <w:numPr>
                <w:ilvl w:val="0"/>
                <w:numId w:val="0"/>
              </w:numPr>
              <w:jc w:val="both"/>
              <w:rPr>
                <w:rFonts w:hint="default" w:ascii="Times New Roman" w:hAnsi="Times New Roman" w:cs="Times New Roman" w:eastAsiaTheme="minorEastAsia"/>
                <w:b/>
                <w:bCs/>
                <w:sz w:val="24"/>
                <w:szCs w:val="24"/>
                <w:vertAlign w:val="baseline"/>
                <w:lang w:eastAsia="zh-CN"/>
              </w:rPr>
            </w:pPr>
            <w:r>
              <w:rPr>
                <w:rFonts w:hint="default" w:ascii="Times New Roman" w:hAnsi="Times New Roman" w:cs="Times New Roman"/>
                <w:b/>
                <w:bCs/>
                <w:sz w:val="24"/>
                <w:szCs w:val="24"/>
              </w:rPr>
              <w:t>依托项目</w:t>
            </w:r>
            <w:r>
              <w:rPr>
                <w:rFonts w:hint="default" w:ascii="Times New Roman" w:hAnsi="Times New Roman" w:cs="Times New Roman"/>
                <w:b/>
                <w:bCs/>
                <w:sz w:val="24"/>
                <w:szCs w:val="24"/>
                <w:lang w:eastAsia="zh-CN"/>
              </w:rPr>
              <w:t>：</w:t>
            </w:r>
          </w:p>
        </w:tc>
        <w:tc>
          <w:tcPr>
            <w:tcW w:w="3823" w:type="pct"/>
            <w:vAlign w:val="center"/>
          </w:tcPr>
          <w:p w14:paraId="343293AC">
            <w:pPr>
              <w:numPr>
                <w:ilvl w:val="0"/>
                <w:numId w:val="0"/>
              </w:numPr>
              <w:jc w:val="both"/>
              <w:rPr>
                <w:rFonts w:hint="default" w:ascii="Times New Roman" w:hAnsi="Times New Roman" w:cs="Times New Roman"/>
                <w:sz w:val="24"/>
                <w:szCs w:val="24"/>
                <w:vertAlign w:val="baseline"/>
              </w:rPr>
            </w:pPr>
            <w:r>
              <w:rPr>
                <w:rFonts w:hint="default" w:ascii="Times New Roman" w:hAnsi="Times New Roman" w:cs="Times New Roman"/>
                <w:sz w:val="24"/>
                <w:szCs w:val="24"/>
                <w:vertAlign w:val="baseline"/>
              </w:rPr>
              <w:t>[2025JW0103] - 基层组织建设</w:t>
            </w:r>
          </w:p>
        </w:tc>
      </w:tr>
    </w:tbl>
    <w:p w14:paraId="52DDC000">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二、调研对象与目标</w:t>
      </w:r>
    </w:p>
    <w:p w14:paraId="3D04B8F6">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总体目标：为深化校企合作、优化实训课程设置，提升学生实践能力，本次调研围绕吉利学院与成都艾维塔科技有限公司的合作展开，重点就新能源汽车产线排产管理、电池性能优化技术人才培养内容和方案进行深入交流与探讨。本次调研的单位艾维塔科技有限公司是一家专门从事新能源汽车技术研发与生产的科技企业，在西南地区的新能源汽车行业是一家具有代表性的高新技术企业，年产值250亿元，现有员工2500余人。</w:t>
      </w:r>
    </w:p>
    <w:p w14:paraId="3E3456BB">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重点任务：通过实地走访和座谈，团队将深入公司现场，实地了解其生产过程和管理现场，与企业销售部、生产、研发负责人进行交流，初步完成适合我校新能源汽车相关专业的学生未来生产实习、就业实习的工作岗位和岗位人才画像、技能标准，从而反推我校新能源汽车相关专业的教学改革，尤其是人才培养定位、目标、要求，以及系列课程的改革，实验实践项目和条件的建设思路，进一步推进新能源汽车相关专业人才培养质量的提升和教学成果的建设。</w:t>
      </w:r>
    </w:p>
    <w:p w14:paraId="2ECF780F">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另外，与企业就当前新能源汽车的设计、生产、研发过程中的焦点问题进行研讨，从教师的共研课题、学生的创新实践项目方面构建初步的合作项目清单和路线图，与企业实现双向赋能，在协同企业解决生产中的实际技术课题的同时，反哺教育教学。</w:t>
      </w:r>
    </w:p>
    <w:p w14:paraId="01DE9290">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三、调研内容与过程</w:t>
      </w:r>
    </w:p>
    <w:p w14:paraId="576D3B08">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调研首日，教师团队抵达成都艾维塔新能源汽车有限公司，首先参观了公司展厅与生产线。企业技术人员详细介绍了艾维塔最新一代智能电驱平台、整车电子电气架构以及智能驾驶辅助系统的核心技术与应用场景。教师团队对新能源汽车底层控制技术、整车热管理系统以及AI算法在驾驶行为优化中的实际部署有了更为直观的认识，并拍摄部分教学素材，计划用于后续课堂演示与案例教学。</w:t>
      </w:r>
    </w:p>
    <w:p w14:paraId="3119B719">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随后，调研团队与艾维塔人力资源部及工程研发中心负责人就“校企联合人才培养模式”开展座谈。双方围绕新能源汽车研发流程、工程实践能力培养、专业课程设置与岗位技能对接等方面展开深入讨论。初步拟定将在2025年5月安排首批12名学生赴企业进行为期两周的实践实训，内容涵盖新能源汽车部件拆装分析、整车软件调试、虚拟仿真平台使用等模块，突出工程素养与动手能力的协同提升。</w:t>
      </w:r>
    </w:p>
    <w:p w14:paraId="074E3260">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第三天，调研组继续深入技术支持与售后服务部门进行考察，重点了解艾维塔在新能源车运维系统、智能诊断平台和客户体验系统等方面的人才需求变化。调研团队与企业达成初步共识：将共建“智能新能源车技术与运营实训基地”，由学院选派专业教师长期指导学生在企业平台开展综合实训。同时，拟合作开发线上/线下混合教学内容，涵盖整车架构、数据分析、远程故障诊断等前沿课程内容，实现理论教学与企业真实场景无缝对接。</w:t>
      </w:r>
    </w:p>
    <w:p w14:paraId="211AA17B">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auto"/>
          <w:lang w:eastAsia="zh-CN"/>
        </w:rPr>
      </w:pPr>
      <w:r>
        <w:rPr>
          <w:rFonts w:hint="eastAsia"/>
          <w:color w:val="000000" w:themeColor="text1"/>
          <w:lang w:eastAsia="zh-CN"/>
          <w14:textFill>
            <w14:solidFill>
              <w14:schemeClr w14:val="tx1"/>
            </w14:solidFill>
          </w14:textFill>
        </w:rPr>
        <w:t>通过调研，教师团队全面了解了新能源汽车企业对技术型复合人才的实际需求，为后续课程改革、实训方案设计与校企协同育人机制建设打下了坚实基础。</w:t>
      </w:r>
    </w:p>
    <w:p w14:paraId="62933DFF">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四、调研成果</w:t>
      </w:r>
    </w:p>
    <w:p w14:paraId="204983E4">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通过对成都艾维塔新能源汽车有限公司为期两天的实地调研，教师团队在新能源汽车核心技术、企业用人需求、产教融合路径等方面取得了丰富成果。</w:t>
      </w:r>
    </w:p>
    <w:p w14:paraId="69DB24BA">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一是，明确了校企共建实训项目的基本框架。调研期间，学院与企业就联合培养新能源技术人才达成初步意向，拟定首批12名学生将于2025年5月进驻企业开展“技术+运营”双融合实训，实训内容涵盖电动汽车结构解析、智能控制系统应用、虚拟仿真训练等多个模块。企业将提供技术平台与工程师资源，学院负责实训课程指导与过程评价，实现双主体协同育人。</w:t>
      </w:r>
    </w:p>
    <w:p w14:paraId="572CCD08">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二是，初步建立了专业课程改革的对接机制。教师团队结合艾维塔核心岗位能力模型，梳理当前教学计划中与企业需求之间的差距，建议在现有课程中加强对智能驾驶、电池管理系统、整车控制架构、CAN通信协议等内容的比重，推动课程内容更新和教学方式的实践化调整。</w:t>
      </w:r>
    </w:p>
    <w:p w14:paraId="2686B8FA">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三是，达成了共建“智能新能源汽车技术与运营实训基地”的合作意向。企业计划开放部分测试线与技术中心资源，为学院师生提供长期性实训、实习与科研对接平台。双方将共同开发一批基于真实应用场景的线上资源与教学案例库，为推动“岗课赛证”融通提供支撑。</w:t>
      </w:r>
    </w:p>
    <w:p w14:paraId="1E858F0C">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学院将本次调研成果纳入下一轮人才培养方案修订参考意向中；同时，学院将于本学期遴选具备新能源背景的师资力量参与后续实训指导及课程开发工作，并尝试设立专项课题或工作坊，鼓励师生围绕新能源汽车技术开展应用型研究，进一步提升人才培养质量与行业匹配度。</w:t>
      </w:r>
    </w:p>
    <w:p w14:paraId="6406FEE2">
      <w:pPr>
        <w:pStyle w:val="3"/>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60" w:lineRule="auto"/>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五、附件</w:t>
      </w:r>
    </w:p>
    <w:p w14:paraId="289CD91A">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440" w:lineRule="exact"/>
        <w:ind w:firstLine="480" w:firstLineChars="200"/>
        <w:textAlignment w:val="auto"/>
        <w:rPr>
          <w:color w:val="auto"/>
        </w:rPr>
      </w:pPr>
      <w:r>
        <w:rPr>
          <w:color w:val="auto"/>
        </w:rPr>
        <w:t>调研现场</w:t>
      </w:r>
      <w:r>
        <w:rPr>
          <w:rFonts w:hint="eastAsia"/>
          <w:color w:val="auto"/>
          <w:lang w:val="en-US" w:eastAsia="zh-CN"/>
        </w:rPr>
        <w:t>照片</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108" w:type="dxa"/>
          <w:right w:w="108" w:type="dxa"/>
        </w:tblCellMar>
      </w:tblPr>
      <w:tblGrid>
        <w:gridCol w:w="2840"/>
        <w:gridCol w:w="2841"/>
        <w:gridCol w:w="2841"/>
      </w:tblGrid>
      <w:tr w14:paraId="4595E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2840" w:type="dxa"/>
          </w:tcPr>
          <w:p w14:paraId="6A716E66">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color w:val="C00000"/>
                <w:vertAlign w:val="baseline"/>
              </w:rPr>
            </w:pPr>
            <w:r>
              <w:drawing>
                <wp:inline distT="0" distB="0" distL="114300" distR="114300">
                  <wp:extent cx="1976755" cy="1296035"/>
                  <wp:effectExtent l="0" t="0" r="4445" b="18415"/>
                  <wp:docPr id="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6"/>
                          <pic:cNvPicPr>
                            <a:picLocks noChangeAspect="1"/>
                          </pic:cNvPicPr>
                        </pic:nvPicPr>
                        <pic:blipFill>
                          <a:blip r:embed="rId6"/>
                          <a:stretch>
                            <a:fillRect/>
                          </a:stretch>
                        </pic:blipFill>
                        <pic:spPr>
                          <a:xfrm>
                            <a:off x="0" y="0"/>
                            <a:ext cx="1976755" cy="1296035"/>
                          </a:xfrm>
                          <a:prstGeom prst="rect">
                            <a:avLst/>
                          </a:prstGeom>
                          <a:noFill/>
                          <a:ln>
                            <a:noFill/>
                          </a:ln>
                        </pic:spPr>
                      </pic:pic>
                    </a:graphicData>
                  </a:graphic>
                </wp:inline>
              </w:drawing>
            </w:r>
          </w:p>
        </w:tc>
        <w:tc>
          <w:tcPr>
            <w:tcW w:w="2841" w:type="dxa"/>
          </w:tcPr>
          <w:p w14:paraId="4AAC95F5">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color w:val="C00000"/>
                <w:vertAlign w:val="baseline"/>
              </w:rPr>
            </w:pPr>
            <w:r>
              <w:drawing>
                <wp:inline distT="0" distB="0" distL="114300" distR="114300">
                  <wp:extent cx="1970405" cy="1296035"/>
                  <wp:effectExtent l="0" t="0" r="10795" b="18415"/>
                  <wp:docPr id="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pic:cNvPicPr>
                            <a:picLocks noChangeAspect="1"/>
                          </pic:cNvPicPr>
                        </pic:nvPicPr>
                        <pic:blipFill>
                          <a:blip r:embed="rId7"/>
                          <a:stretch>
                            <a:fillRect/>
                          </a:stretch>
                        </pic:blipFill>
                        <pic:spPr>
                          <a:xfrm>
                            <a:off x="0" y="0"/>
                            <a:ext cx="1970405" cy="1296035"/>
                          </a:xfrm>
                          <a:prstGeom prst="rect">
                            <a:avLst/>
                          </a:prstGeom>
                          <a:noFill/>
                          <a:ln>
                            <a:noFill/>
                          </a:ln>
                        </pic:spPr>
                      </pic:pic>
                    </a:graphicData>
                  </a:graphic>
                </wp:inline>
              </w:drawing>
            </w:r>
          </w:p>
        </w:tc>
        <w:tc>
          <w:tcPr>
            <w:tcW w:w="2841" w:type="dxa"/>
          </w:tcPr>
          <w:p w14:paraId="633C8946">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color w:val="C00000"/>
                <w:vertAlign w:val="baseline"/>
              </w:rPr>
            </w:pPr>
            <w:r>
              <w:drawing>
                <wp:inline distT="0" distB="0" distL="114300" distR="114300">
                  <wp:extent cx="1975485" cy="1296035"/>
                  <wp:effectExtent l="0" t="0" r="5715" b="18415"/>
                  <wp:docPr id="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7"/>
                          <pic:cNvPicPr>
                            <a:picLocks noChangeAspect="1"/>
                          </pic:cNvPicPr>
                        </pic:nvPicPr>
                        <pic:blipFill>
                          <a:blip r:embed="rId8"/>
                          <a:stretch>
                            <a:fillRect/>
                          </a:stretch>
                        </pic:blipFill>
                        <pic:spPr>
                          <a:xfrm>
                            <a:off x="0" y="0"/>
                            <a:ext cx="1975485" cy="1296035"/>
                          </a:xfrm>
                          <a:prstGeom prst="rect">
                            <a:avLst/>
                          </a:prstGeom>
                          <a:noFill/>
                          <a:ln>
                            <a:noFill/>
                          </a:ln>
                        </pic:spPr>
                      </pic:pic>
                    </a:graphicData>
                  </a:graphic>
                </wp:inline>
              </w:drawing>
            </w:r>
          </w:p>
        </w:tc>
      </w:tr>
      <w:tr w14:paraId="11B90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108" w:type="dxa"/>
            <w:right w:w="108" w:type="dxa"/>
          </w:tblCellMar>
        </w:tblPrEx>
        <w:tc>
          <w:tcPr>
            <w:tcW w:w="2840" w:type="dxa"/>
          </w:tcPr>
          <w:p w14:paraId="2EB4373F">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黑体" w:hAnsi="黑体" w:eastAsia="黑体" w:cs="黑体"/>
                <w:b/>
                <w:bCs/>
                <w:sz w:val="21"/>
                <w:szCs w:val="21"/>
                <w:lang w:val="en-US" w:eastAsia="zh-CN"/>
              </w:rPr>
            </w:pPr>
            <w:r>
              <w:rPr>
                <w:rFonts w:hint="eastAsia" w:ascii="黑体" w:hAnsi="黑体" w:eastAsia="黑体" w:cs="黑体"/>
                <w:b/>
                <w:bCs/>
                <w:sz w:val="21"/>
                <w:szCs w:val="21"/>
                <w:lang w:val="en-US" w:eastAsia="zh-CN"/>
              </w:rPr>
              <w:t>与企业工程师交流汽车技术</w:t>
            </w:r>
          </w:p>
        </w:tc>
        <w:tc>
          <w:tcPr>
            <w:tcW w:w="2841" w:type="dxa"/>
          </w:tcPr>
          <w:p w14:paraId="766AAC29">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黑体" w:hAnsi="黑体" w:eastAsia="黑体" w:cs="黑体"/>
                <w:b/>
                <w:bCs/>
                <w:sz w:val="21"/>
                <w:szCs w:val="21"/>
                <w:lang w:val="en-US" w:eastAsia="zh-CN"/>
              </w:rPr>
            </w:pPr>
            <w:r>
              <w:rPr>
                <w:rFonts w:hint="eastAsia" w:ascii="黑体" w:hAnsi="黑体" w:eastAsia="黑体" w:cs="黑体"/>
                <w:b/>
                <w:bCs/>
                <w:sz w:val="21"/>
                <w:szCs w:val="21"/>
                <w:lang w:val="en-US" w:eastAsia="zh-CN"/>
              </w:rPr>
              <w:t>参观生产车间</w:t>
            </w:r>
          </w:p>
        </w:tc>
        <w:tc>
          <w:tcPr>
            <w:tcW w:w="2841" w:type="dxa"/>
          </w:tcPr>
          <w:p w14:paraId="5DAD0765">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ascii="黑体" w:hAnsi="黑体" w:eastAsia="黑体" w:cs="黑体"/>
                <w:b/>
                <w:bCs/>
                <w:sz w:val="21"/>
                <w:szCs w:val="21"/>
                <w:lang w:val="en-US" w:eastAsia="zh-CN"/>
              </w:rPr>
            </w:pPr>
            <w:r>
              <w:rPr>
                <w:rFonts w:hint="eastAsia" w:ascii="黑体" w:hAnsi="黑体" w:eastAsia="黑体" w:cs="黑体"/>
                <w:b/>
                <w:bCs/>
                <w:sz w:val="21"/>
                <w:szCs w:val="21"/>
                <w:lang w:val="en-US" w:eastAsia="zh-CN"/>
              </w:rPr>
              <w:t>商议学生实习方案</w:t>
            </w:r>
          </w:p>
        </w:tc>
      </w:tr>
    </w:tbl>
    <w:p w14:paraId="7DE92A0D">
      <w:pPr>
        <w:pStyle w:val="8"/>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jc w:val="left"/>
        <w:textAlignment w:val="auto"/>
        <w:rPr>
          <w:color w:val="C00000"/>
        </w:rPr>
      </w:pPr>
    </w:p>
    <w:p w14:paraId="0BA6CECF">
      <w:pPr>
        <w:pStyle w:val="8"/>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440" w:lineRule="exact"/>
        <w:ind w:left="0" w:leftChars="0" w:firstLine="480" w:firstLineChars="200"/>
        <w:textAlignment w:val="auto"/>
        <w:rPr>
          <w:color w:val="auto"/>
        </w:rPr>
      </w:pPr>
      <w:r>
        <w:rPr>
          <w:rFonts w:hint="eastAsia"/>
          <w:color w:val="auto"/>
          <w:lang w:val="en-US" w:eastAsia="zh-CN"/>
        </w:rPr>
        <w:t>交流研讨会议纪要</w:t>
      </w:r>
    </w:p>
    <w:p w14:paraId="070F630D">
      <w:pPr>
        <w:pStyle w:val="8"/>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480" w:firstLineChars="200"/>
        <w:jc w:val="left"/>
        <w:textAlignment w:val="auto"/>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（略）</w:t>
      </w:r>
    </w:p>
    <w:sectPr>
      <w:footerReference r:id="rId4" w:type="default"/>
      <w:pgSz w:w="11906" w:h="16838"/>
      <w:pgMar w:top="1440" w:right="1800" w:bottom="1440" w:left="1800" w:header="851" w:footer="992" w:gutter="0"/>
      <w:pgBorders w:offsetFrom="page">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0D663">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EBCCD2B">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mF77c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AqZhe+3AIAACQGAAAOAAAAAAAAAAEAIAAAAB8BAABkcnMvZTJvRG9jLnhtbFBLBQYA&#10;AAAABgAGAFkBAABtBgAAAAA=&#10;">
              <v:fill on="f" focussize="0,0"/>
              <v:stroke on="f" weight="0.5pt"/>
              <v:imagedata o:title=""/>
              <o:lock v:ext="edit" aspectratio="f"/>
              <v:textbox inset="0mm,0mm,0mm,0mm" style="mso-fit-shape-to-text:t;">
                <w:txbxContent>
                  <w:p w14:paraId="7EBCCD2B">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ED7E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2A594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p w14:paraId="372A594B">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1DD46"/>
    <w:multiLevelType w:val="singleLevel"/>
    <w:tmpl w:val="3CC1DD46"/>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9F3F1C"/>
    <w:rsid w:val="419F3F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annotation text"/>
    <w:basedOn w:val="1"/>
    <w:uiPriority w:val="0"/>
    <w:pPr>
      <w:jc w:val="left"/>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iPriority w:val="0"/>
    <w:pPr>
      <w:spacing w:before="0" w:beforeAutospacing="1" w:after="0" w:afterAutospacing="1"/>
      <w:ind w:left="0" w:right="0"/>
      <w:jc w:val="left"/>
    </w:pPr>
    <w:rPr>
      <w:kern w:val="0"/>
      <w:sz w:val="24"/>
      <w:lang w:val="en-US" w:eastAsia="zh-CN" w:bidi="ar"/>
    </w:rPr>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36</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2025-05-27T00:42:00Z</dcterms:created>
  <dc:creator>GUC</dc:creator>
  <cp:lastModifiedBy>GUC</cp:lastModifiedBy>
  <dcterms:modified xsi:type="dcterms:W3CDTF">2025-05-27T12:31:44Z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803B38B88D614D2DADAEBB591F1EA63B_11</vt:lpwstr>
  </property>
  <property fmtid="{D5CDD505-2E9C-101B-9397-08002B2CF9AE}" pid="4" name="KSOTemplateDocerSaveRecord">
    <vt:lpwstr>eyJoZGlkIjoiZTRjN2MyNTVmNjYwZDA3ZGQ4NWFiYTQzYmEwNGFhOGUiLCJ1c2VySWQiOiIzODkwMzU2ODcifQ==</vt:lpwstr>
  </property>
</Properties>
</file>